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Паспорт </w:t>
      </w:r>
    </w:p>
    <w:p>
      <w:pPr>
        <w:ind w:left="142" w:hanging="142"/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инвестиционной площадки</w:t>
      </w:r>
    </w:p>
    <w:p>
      <w:pPr>
        <w:ind w:left="142" w:hanging="142"/>
        <w:spacing/>
        <w:jc w:val="center"/>
        <w:rPr>
          <w:rFonts w:ascii="Calibri" w:hAnsi="Calibri"/>
          <w:shd w:val="clear" w:fill="f8f9fa"/>
        </w:rPr>
      </w:pPr>
      <w:r>
        <w:rPr>
          <w:rFonts w:ascii="Times New Roman" w:hAnsi="Times New Roman"/>
          <w:b/>
          <w:sz w:val="28"/>
        </w:rPr>
        <w:t>Анжеро-Судженск, площадка для развития туризма, северо-западная сторона оз. Победа</w:t>
      </w:r>
      <w:r>
        <w:rPr>
          <w:rFonts w:ascii="Calibri" w:hAnsi="Calibri"/>
          <w:shd w:val="clear" w:fill="f8f9fa"/>
        </w:rPr>
      </w:r>
    </w:p>
    <w:p>
      <w:pPr>
        <w:spacing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Рекомендуемый формат наименования инвестиционной площадки: МО, наименования площадки</w:t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794"/>
        <w:gridCol w:w="6266"/>
      </w:tblGrid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площадка для развития туризма</w:t>
            </w:r>
          </w:p>
        </w:tc>
      </w:tr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ind w:left="0" w:right="0" w:firstLine="0"/>
              <w:spacing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Вспомогательные строения инфраструктуры для отдыха; пункты проката игрового и спортивного инвентаря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 Положение и окружение инвестиционной площадки </w:t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600" w:firstRow="0" w:lastRow="0" w:firstColumn="0" w:lastColumn="0" w:noHBand="1" w:noVBand="1"/>
      </w:tblPr>
      <w:tblGrid>
        <w:gridCol w:w="3673"/>
        <w:gridCol w:w="6361"/>
      </w:tblGrid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Кемеровская область, г. Анжеро-Судженск, северо-западная сторона оз. Победа</w:t>
            </w:r>
          </w:p>
        </w:tc>
      </w:tr>
      <w:tr>
        <w:trPr>
          <w:cantSplit w:val="0"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Удаленность от объектов (в км):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107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4,2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Расстояние по прямой 0,8 км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Расстояние по дорогам общего пользования 0,7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на границе площадки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на расстоянии 0,2 км от границы площадки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нет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наличие ограничений (нагрузка на ось, высота)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____________________________________________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 асфальтовое покрытие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 грунтовое покрытие 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Иное___________________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на расстоянии 7,4 км от границы площадки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109,2км Название аэропорта Международный аэропорт Кемерово им. А.А. Леонова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/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13  км. № полигона в ГРОРО 42-00322-З-00552-070715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Ровная </w:t>
            </w:r>
          </w:p>
        </w:tc>
      </w:tr>
    </w:tbl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 Правовой статус инвестиционной площадки</w:t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823"/>
        <w:gridCol w:w="6237"/>
      </w:tblGrid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Вид собственности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муниципальная собственность</w:t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Категория земель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земли населенных пунктов</w:t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 не проведено</w:t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42:20:0102042:102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 Характеристика территории инвестиционной площадки </w:t>
      </w:r>
    </w:p>
    <w:tbl>
      <w:tblPr>
        <w:tblStyle w:val="NormalTable"/>
        <w:name w:val="Таблица4"/>
        <w:tabOrder w:val="0"/>
        <w:jc w:val="left"/>
        <w:tblInd w:w="0" w:type="dxa"/>
        <w:tblW w:w="10014" w:type="dxa"/>
        <w:tblLook w:val="0600" w:firstRow="0" w:lastRow="0" w:firstColumn="0" w:lastColumn="0" w:noHBand="1" w:noVBand="1"/>
      </w:tblPr>
      <w:tblGrid>
        <w:gridCol w:w="4375"/>
        <w:gridCol w:w="5639"/>
      </w:tblGrid>
      <w:tr>
        <w:trPr>
          <w:cantSplit w:val="0"/>
          <w:trHeight w:val="0" w:hRule="auto"/>
        </w:trPr>
        <w:tc>
          <w:tcPr>
            <w:tcW w:w="43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Площадь, в га</w:t>
            </w:r>
          </w:p>
        </w:tc>
        <w:tc>
          <w:tcPr>
            <w:tcW w:w="563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1,5</w:t>
            </w:r>
          </w:p>
        </w:tc>
      </w:tr>
      <w:tr>
        <w:trPr>
          <w:cantSplit w:val="0"/>
          <w:trHeight w:val="0" w:hRule="auto"/>
        </w:trPr>
        <w:tc>
          <w:tcPr>
            <w:tcW w:w="43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Возможность расширения</w:t>
            </w:r>
          </w:p>
        </w:tc>
        <w:tc>
          <w:tcPr>
            <w:tcW w:w="563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есть (до 2 га)</w:t>
            </w:r>
          </w:p>
        </w:tc>
      </w:tr>
      <w:tr>
        <w:trPr>
          <w:cantSplit w:val="0"/>
          <w:trHeight w:val="0" w:hRule="auto"/>
        </w:trPr>
        <w:tc>
          <w:tcPr>
            <w:tcW w:w="43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Кадастровая стоимость участка, тыс. рублей </w:t>
            </w:r>
          </w:p>
        </w:tc>
        <w:tc>
          <w:tcPr>
            <w:tcW w:w="563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2426,8</w:t>
            </w:r>
          </w:p>
        </w:tc>
      </w:tr>
      <w:tr>
        <w:trPr>
          <w:cantSplit w:val="0"/>
          <w:trHeight w:val="0" w:hRule="auto"/>
        </w:trPr>
        <w:tc>
          <w:tcPr>
            <w:tcW w:w="43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Возможные меры поддержки</w:t>
            </w:r>
          </w:p>
        </w:tc>
        <w:tc>
          <w:tcPr>
            <w:tcW w:w="563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ТОСЭР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>ОЭЗ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 ФРМ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</w:pPr>
            <w:r>
              <w:t xml:space="preserve">Другие МКК Госфонд Кемеровской области </w:t>
            </w:r>
          </w:p>
        </w:tc>
      </w:tr>
    </w:tbl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 Характеристика инженерной инфраструктуры инвестиционной площадки*</w:t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>
        <w:trPr>
          <w:cantSplit w:val="0"/>
          <w:trHeight w:val="270" w:hRule="atLeast"/>
        </w:trPr>
        <w:tc>
          <w:tcPr>
            <w:tcW w:w="1384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ind w:left="-108" w:firstLine="0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ресурса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Поставщик ресурса</w:t>
            </w:r>
          </w:p>
        </w:tc>
      </w:tr>
      <w:tr>
        <w:trPr>
          <w:cantSplit w:val="0"/>
          <w:trHeight w:val="222" w:hRule="atLeast"/>
        </w:trPr>
        <w:tc>
          <w:tcPr>
            <w:tcW w:w="1384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/>
        </w:tc>
        <w:tc>
          <w:tcPr>
            <w:tcW w:w="851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/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cantSplit w:val="0"/>
          <w:trHeight w:val="276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cantSplit w:val="0"/>
          <w:trHeight w:val="33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Гкал/час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cantSplit w:val="0"/>
          <w:trHeight w:val="289" w:hRule="atLeast"/>
        </w:trPr>
        <w:tc>
          <w:tcPr>
            <w:tcW w:w="138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Электроэнергия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кВт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ТП-317, 63кВа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36 кВт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11,26-11,64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ПАО "Кузбассэнергосбыт"</w:t>
            </w:r>
          </w:p>
        </w:tc>
      </w:tr>
      <w:tr>
        <w:trPr>
          <w:cantSplit w:val="0"/>
          <w:trHeight w:val="280" w:hRule="atLeast"/>
        </w:trPr>
        <w:tc>
          <w:tcPr>
            <w:tcW w:w="138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Водоснабжение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м</w:t>
            </w:r>
            <w:r>
              <w:rPr>
                <w:rFonts w:ascii="Times New Roman" w:hAnsi="Times New Roman"/>
                <w:sz w:val="18"/>
                <w:vertAlign w:val="superscript"/>
              </w:rPr>
              <w:t>3</w:t>
            </w:r>
            <w:r>
              <w:rPr>
                <w:rFonts w:ascii="Times New Roman" w:hAnsi="Times New Roman"/>
                <w:sz w:val="18"/>
              </w:rPr>
              <w:t>/час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Диаметр водопроводной линии – Ø100мм. Гарантированное давление линии водоснабжения – 1атм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Диаметр водопроводной линии – Ø100мм. Гарантированное давление линии водоснабжения – 1атм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0,498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60,37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  <w:tr>
        <w:trPr>
          <w:cantSplit w:val="0"/>
          <w:trHeight w:val="264" w:hRule="atLeast"/>
        </w:trPr>
        <w:tc>
          <w:tcPr>
            <w:tcW w:w="138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Водоотведение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м</w:t>
            </w:r>
            <w:r>
              <w:rPr>
                <w:rFonts w:ascii="Times New Roman" w:hAnsi="Times New Roman"/>
                <w:sz w:val="18"/>
                <w:vertAlign w:val="superscript"/>
              </w:rPr>
              <w:t>3</w:t>
            </w:r>
            <w:r>
              <w:rPr>
                <w:rFonts w:ascii="Times New Roman" w:hAnsi="Times New Roman"/>
                <w:sz w:val="18"/>
              </w:rPr>
              <w:t>/час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Диаметр линии водоотведения – Ø100мм.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Диаметр линии водоотведения – Ø100мм.</w:t>
            </w:r>
          </w:p>
        </w:tc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2.17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49,98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</w:tbl>
    <w:p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 Основные параметры расположенных на площадке зданий и сооружений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1"/>
      </w:r>
      <w:r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сооружения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Площадь, м</w:t>
            </w:r>
            <w:r>
              <w:rPr>
                <w:rFonts w:ascii="Times New Roman" w:hAnsi="Times New Roman"/>
                <w:sz w:val="16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Этажность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Высота этажа, м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Строительный материал конструкции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Состояние, степень износа, %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Возможность расширения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Использование в настоящее время</w:t>
            </w:r>
          </w:p>
        </w:tc>
      </w:tr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tabs defTabSz="708">
          <w:tab w:val="left" w:pos="851" w:leader="none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 Характеристика доступной ресурсно-сырьевой базы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2"/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7"/>
        <w:tabOrder w:val="0"/>
        <w:jc w:val="left"/>
        <w:tblInd w:w="0" w:type="dxa"/>
        <w:tblW w:w="10063" w:type="dxa"/>
        <w:tblLook w:val="0600" w:firstRow="0" w:lastRow="0" w:firstColumn="0" w:lastColumn="0" w:noHBand="1" w:noVBand="1"/>
      </w:tblPr>
      <w:tblGrid>
        <w:gridCol w:w="1527"/>
        <w:gridCol w:w="2835"/>
        <w:gridCol w:w="1844"/>
        <w:gridCol w:w="3857"/>
      </w:tblGrid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Вид ресурсов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Величина разведанных/ подтвержденных запасов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Статус месторождения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Расстояние от границы площадки до месторождения, км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каменный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геологические запасы более 1,5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Яшкинского и Кемеровского районов, от р. Кайгур до г. Анжеро-Судженска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700" w:hRule="atLeast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алюминиевые руды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10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Барзасское месторождение (Единисский, Суховский, Глухаринский, Гавриловский, Золото-Китатский</w:t>
            </w:r>
            <w:r>
              <w:rPr>
                <w:rFonts w:ascii="Times New Roman" w:hAnsi="Times New Roman"/>
                <w:sz w:val="22"/>
              </w:rPr>
              <w:t xml:space="preserve"> участки, на территории Кемеровского, </w:t>
            </w:r>
            <w:r>
              <w:rPr>
                <w:rFonts w:ascii="Times New Roman" w:hAnsi="Times New Roman"/>
                <w:sz w:val="22"/>
              </w:rPr>
              <w:t>Яйского</w:t>
            </w:r>
            <w:r>
              <w:rPr>
                <w:rFonts w:ascii="Times New Roman" w:hAnsi="Times New Roman"/>
                <w:sz w:val="22"/>
              </w:rPr>
              <w:t xml:space="preserve"> и </w:t>
            </w:r>
            <w:r>
              <w:rPr>
                <w:rFonts w:ascii="Times New Roman" w:hAnsi="Times New Roman"/>
                <w:sz w:val="22"/>
              </w:rPr>
              <w:t>Ижморского</w:t>
            </w:r>
            <w:r>
              <w:rPr>
                <w:rFonts w:ascii="Times New Roman" w:hAnsi="Times New Roman"/>
                <w:sz w:val="22"/>
              </w:rPr>
              <w:t xml:space="preserve"> районов, от р. Барзас до р. Золотой </w:t>
            </w:r>
            <w:r>
              <w:rPr>
                <w:rFonts w:ascii="Times New Roman" w:hAnsi="Times New Roman"/>
                <w:sz w:val="22"/>
              </w:rPr>
              <w:t>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железная руда (магнетитовая)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500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междуречье р. Алчедат и р. Золотой 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кварциты Антоновской группы месторождений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промышленно оцененные запасы составляют 0,5 млрд. тонн;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Пгт. Рудничный 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бурый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около 2,0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(Китатское месторождение, территория Яйского района, по реке Китат между пос. Улановка и пос. Вознесенка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марганцевая руда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82,9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Ижморского и Верх-Чебулинского районов, от р. Кайгагат до р. Заломная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диабазы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vertAlign w:val="superscript"/>
              </w:rPr>
              <w:t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Кемеровского района, Васильевское месторождение (недалеко от пос. Барзас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глины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имеет запасы категории В - 66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расположено в 9 км от ст. Анжерская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минеральные краски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Баранцовское (160 т. тн); Тайгинское (2246 т.тн); Халдеевское (25 т.тн.);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Яйского, Яшкинского районов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7. Трудовые ресурсы</w:t>
      </w:r>
    </w:p>
    <w:tbl>
      <w:tblPr>
        <w:tblStyle w:val="NormalTable"/>
        <w:name w:val="Таблица8"/>
        <w:tabOrder w:val="0"/>
        <w:jc w:val="left"/>
        <w:tblInd w:w="-5" w:type="dxa"/>
        <w:tblW w:w="10065" w:type="dxa"/>
        <w:pPr>
          <w:ind w:left="-5"/>
        </w:pPr>
        <w:tblLook w:val="0600" w:firstRow="0" w:lastRow="0" w:firstColumn="0" w:lastColumn="0" w:noHBand="1" w:noVBand="1"/>
      </w:tblPr>
      <w:tblGrid>
        <w:gridCol w:w="4395"/>
        <w:gridCol w:w="5670"/>
      </w:tblGrid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8. Сведения о владельце (собственнике) площадки:</w:t>
      </w:r>
    </w:p>
    <w:tbl>
      <w:tblPr>
        <w:tblStyle w:val="NormalTable"/>
        <w:name w:val="Таблица9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4390"/>
        <w:gridCol w:w="5670"/>
      </w:tblGrid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Владелец (собственник)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КУМИ администрации Анжеро-Судженского городского округа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Кемеровская область, город Анжеро-Судженск ул. Ленина 6 </w:t>
            </w:r>
          </w:p>
        </w:tc>
      </w:tr>
      <w:tr>
        <w:trPr>
          <w:cantSplit w:val="0"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собственность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лицо: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Ф.И.О., должность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Чемякин Илья Владимирович, начальник управления экономического развития, промышленности и предпринимательства</w:t>
            </w:r>
            <w:r/>
            <w:bookmarkStart w:id="2" w:name="_GoBack"/>
            <w:r/>
            <w:bookmarkEnd w:id="2"/>
            <w:r/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Телефон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8(38453)6-12-79 ; 8(38453)6-56-17;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39922" protected="0"/>
          </w:tcPr>
          <w:p>
            <w:pPr>
              <w:contextualSpacing/>
              <w:rPr>
                <w:rFonts w:ascii="Times New Roman" w:hAnsi="Times New Roman"/>
              </w:rPr>
            </w:pPr>
            <w:hyperlink r:id="rId8" w:history="1">
              <w:r>
                <w:rPr>
                  <w:rStyle w:val="char13"/>
                  <w:rFonts w:ascii="Times New Roman" w:hAnsi="Times New Roman"/>
                </w:rPr>
                <w:t>upp@anzhero.ru</w:t>
              </w:r>
            </w:hyperlink>
            <w:r>
              <w:rPr>
                <w:rFonts w:ascii="Times New Roman" w:hAnsi="Times New Roman"/>
              </w:rPr>
              <w:t xml:space="preserve"> ; </w:t>
            </w:r>
            <w:hyperlink r:id="rId9" w:history="1">
              <w:r>
                <w:rPr>
                  <w:rStyle w:val="char13"/>
                  <w:rFonts w:ascii="Times New Roman" w:hAnsi="Times New Roman"/>
                </w:rPr>
                <w:t>promotdel@anzhero.ru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851" w:right="851" w:bottom="1134" w:header="0" w:footer="0"/>
          <w:paperSrc w:first="0" w:other="0" a="0" b="0"/>
          <w:pgNumType w:fmt="decimal" w:start="0"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114300" distR="114300">
            <wp:extent cx="9258300" cy="5267325"/>
            <wp:effectExtent l="0" t="0" r="0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extLst>
                        <a:ext uri="sm">
                          <sm:smNativeData xmlns:sm="sm" val="SMDATA_16_kh+5a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B6AAAAAAAAAAAAAAAAAAAAAAAAAAAAAAAAAAAAAAAAAAAAAA9DgAAGcg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ic Roman">
    <w:charset w:val="00"/>
    <w:family w:val="roman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</w:font>
  <w:font w:name="Arial">
    <w:charset w:val="00"/>
    <w:family w:val="auto"/>
    <w:pitch w:val="default"/>
  </w:font>
  <w:font w:name="XO Thames">
    <w:charset w:val="00"/>
    <w:family w:val="roman"/>
    <w:pitch w:val="default"/>
  </w:font>
  <w:font w:name="Segoe UI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1">
    <w:p>
      <w:pPr>
        <w:pStyle w:val="para15"/>
      </w:pPr>
      <w:r>
        <w:rPr>
          <w:vertAlign w:val="superscript"/>
        </w:rPr>
      </w:r>
      <w:r>
        <w:rPr>
          <w:vertAlign w:val="superscript"/>
        </w:rPr>
        <w:footnoteRef/>
      </w:r>
      <w:r>
        <w:t xml:space="preserve"> Заполняется по каждому объекту недвижимости </w:t>
      </w:r>
    </w:p>
  </w:footnote>
  <w:footnote w:id="2">
    <w:p>
      <w:pPr>
        <w:pStyle w:val="para15"/>
      </w:pPr>
      <w:r>
        <w:rPr>
          <w:vertAlign w:val="superscript"/>
        </w:rPr>
      </w:r>
      <w:r>
        <w:rPr>
          <w:vertAlign w:val="superscript"/>
        </w:rPr>
        <w:footnoteRef/>
      </w:r>
      <w:r>
        <w:t>Для инвестиционных площадок производственного назначения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2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2"/>
    <w:tmLastPosSelect w:val="0"/>
    <w:tmLastPosFrameIdx w:val="174"/>
    <w:tmLastPosCaret>
      <w:tmLastPosPgfIdx w:val="0"/>
      <w:tmLastPosIdx w:val="34"/>
    </w:tmLastPosCaret>
    <w:tmLastPosAnchor>
      <w:tmLastPosPgfIdx w:val="0"/>
      <w:tmLastPosIdx w:val="0"/>
    </w:tmLastPosAnchor>
    <w:tmLastPosTblRect w:left="0" w:top="0" w:right="0" w:bottom="0"/>
  </w:tmLastPos>
  <w:tmAppRevision w:date="1773739922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4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5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6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  <w:lang w:val="ru-ru" w:eastAsia="zh-cn" w:bidi="ar-sa"/>
    </w:rPr>
  </w:style>
  <w:style w:type="paragraph" w:styleId="para7">
    <w:name w:val="No Spacing"/>
    <w:qFormat/>
    <w:rPr>
      <w:rFonts w:ascii="Calibri" w:hAnsi="Calibri"/>
      <w:color w:val="000000"/>
      <w:sz w:val="22"/>
      <w:lang w:val="ru-ru" w:eastAsia="zh-cn" w:bidi="ar-sa"/>
    </w:rPr>
  </w:style>
  <w:style w:type="paragraph" w:styleId="para8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9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  <w:lang w:val="ru-ru" w:eastAsia="zh-cn" w:bidi="ar-sa"/>
    </w:rPr>
  </w:style>
  <w:style w:type="paragraph" w:styleId="para10" w:customStyle="1">
    <w:name w:val="Default"/>
    <w:qFormat/>
    <w:rPr>
      <w:rFonts w:ascii="Times New Roman" w:hAnsi="Times New Roman"/>
      <w:color w:val="000000"/>
      <w:sz w:val="24"/>
      <w:lang w:val="ru-ru" w:eastAsia="zh-cn" w:bidi="ar-sa"/>
    </w:rPr>
  </w:style>
  <w:style w:type="paragraph" w:styleId="para11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  <w:lang w:val="ru-ru" w:eastAsia="zh-cn" w:bidi="ar-sa"/>
    </w:rPr>
  </w:style>
  <w:style w:type="paragraph" w:styleId="para12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  <w:lang w:val="ru-ru" w:eastAsia="zh-cn" w:bidi="ar-sa"/>
    </w:rPr>
  </w:style>
  <w:style w:type="paragraph" w:styleId="para13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zh-cn" w:bidi="ar-sa"/>
    </w:rPr>
  </w:style>
  <w:style w:type="paragraph" w:styleId="para14" w:customStyle="1">
    <w:name w:val="Гиперссылка"/>
    <w:qFormat/>
    <w:basedOn w:val="para11"/>
    <w:rPr>
      <w:color w:val="0563c1"/>
      <w:u w:color="auto" w:val="single"/>
    </w:rPr>
  </w:style>
  <w:style w:type="paragraph" w:styleId="para15" w:customStyle="1">
    <w:name w:val="Footnote"/>
    <w:qFormat/>
    <w:basedOn w:val="para0"/>
    <w:rPr>
      <w:rFonts w:ascii="Times New Roman" w:hAnsi="Times New Roman"/>
      <w:sz w:val="20"/>
    </w:rPr>
  </w:style>
  <w:style w:type="paragraph" w:styleId="para16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17" w:customStyle="1">
    <w:name w:val="Header and Footer"/>
    <w:qFormat/>
    <w:pPr>
      <w:spacing w:after="160"/>
      <w:jc w:val="both"/>
    </w:pPr>
    <w:rPr>
      <w:rFonts w:ascii="XO Thames" w:hAnsi="XO Thames"/>
      <w:color w:val="000000"/>
      <w:sz w:val="24"/>
      <w:lang w:val="ru-ru" w:eastAsia="zh-cn" w:bidi="ar-sa"/>
    </w:rPr>
  </w:style>
  <w:style w:type="paragraph" w:styleId="para18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9" w:customStyle="1">
    <w:name w:val="Unresolved Mention"/>
    <w:qFormat/>
    <w:basedOn w:val="para11"/>
    <w:rPr>
      <w:color w:val="605e5c"/>
      <w:shd w:val="clear" w:fill="e1dfdd"/>
    </w:rPr>
  </w:style>
  <w:style w:type="paragraph" w:styleId="para20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1">
    <w:name w:val="Balloon Text"/>
    <w:qFormat/>
    <w:basedOn w:val="para0"/>
    <w:rPr>
      <w:rFonts w:ascii="Segoe UI" w:hAnsi="Segoe UI"/>
      <w:sz w:val="18"/>
    </w:rPr>
  </w:style>
  <w:style w:type="paragraph" w:styleId="para22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3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  <w:lang w:val="ru-ru" w:eastAsia="zh-cn" w:bidi="ar-sa"/>
    </w:rPr>
  </w:style>
  <w:style w:type="paragraph" w:styleId="para24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  <w:lang w:val="ru-ru" w:eastAsia="zh-cn" w:bidi="ar-sa"/>
    </w:rPr>
  </w:style>
  <w:style w:type="paragraph" w:styleId="para25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  <w:lang w:val="ru-ru" w:eastAsia="zh-cn" w:bidi="ar-sa"/>
    </w:rPr>
  </w:style>
  <w:style w:type="paragraph" w:styleId="para26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  <w:lang w:val="ru-ru" w:eastAsia="zh-cn" w:bidi="ar-sa"/>
    </w:rPr>
  </w:style>
  <w:style w:type="character" w:styleId="char0" w:default="1">
    <w:name w:val="Default Paragraph Font"/>
  </w:style>
  <w:style w:type="character" w:styleId="char1" w:customStyle="1">
    <w:name w:val="Оглавление 2"/>
    <w:rPr>
      <w:rFonts w:ascii="XO Thames" w:hAnsi="XO Thames"/>
      <w:sz w:val="28"/>
    </w:rPr>
  </w:style>
  <w:style w:type="character" w:styleId="char2" w:customStyle="1">
    <w:name w:val="Абзац списка"/>
    <w:basedOnNormal/>
  </w:style>
  <w:style w:type="character" w:styleId="char3" w:customStyle="1">
    <w:name w:val="Оглавление 4"/>
    <w:rPr>
      <w:rFonts w:ascii="XO Thames" w:hAnsi="XO Thames"/>
      <w:sz w:val="28"/>
    </w:rPr>
  </w:style>
  <w:style w:type="character" w:styleId="char4" w:customStyle="1">
    <w:name w:val="Оглавление 6"/>
    <w:rPr>
      <w:rFonts w:ascii="XO Thames" w:hAnsi="XO Thames"/>
      <w:sz w:val="28"/>
    </w:rPr>
  </w:style>
  <w:style w:type="character" w:styleId="char5" w:customStyle="1">
    <w:name w:val="Оглавление 7"/>
    <w:rPr>
      <w:rFonts w:ascii="XO Thames" w:hAnsi="XO Thames"/>
      <w:sz w:val="28"/>
    </w:rPr>
  </w:style>
  <w:style w:type="character" w:styleId="char6" w:customStyle="1">
    <w:name w:val="Заголовок 3"/>
    <w:rPr>
      <w:rFonts w:ascii="XO Thames" w:hAnsi="XO Thames"/>
      <w:b/>
      <w:sz w:val="26"/>
    </w:rPr>
  </w:style>
  <w:style w:type="character" w:styleId="char7" w:customStyle="1">
    <w:name w:val="Без интервала"/>
  </w:style>
  <w:style w:type="character" w:styleId="char8" w:customStyle="1">
    <w:name w:val="Оглавление 3"/>
    <w:rPr>
      <w:rFonts w:ascii="XO Thames" w:hAnsi="XO Thames"/>
      <w:sz w:val="28"/>
    </w:rPr>
  </w:style>
  <w:style w:type="character" w:styleId="char9">
    <w:name w:val="Footnote Reference"/>
    <w:rPr>
      <w:vertAlign w:val="superscript"/>
    </w:rPr>
  </w:style>
  <w:style w:type="character" w:styleId="char10" w:customStyle="1">
    <w:name w:val="Default"/>
    <w:rPr>
      <w:rFonts w:ascii="Times New Roman" w:hAnsi="Times New Roman"/>
      <w:color w:val="000000"/>
      <w:sz w:val="24"/>
    </w:rPr>
  </w:style>
  <w:style w:type="character" w:styleId="char11" w:customStyle="1">
    <w:name w:val="Заголовок 5"/>
    <w:rPr>
      <w:rFonts w:ascii="XO Thames" w:hAnsi="XO Thames"/>
      <w:b/>
      <w:sz w:val="22"/>
    </w:rPr>
  </w:style>
  <w:style w:type="character" w:styleId="char12" w:customStyle="1">
    <w:name w:val="Заголовок 1"/>
    <w:rPr>
      <w:rFonts w:ascii="XO Thames" w:hAnsi="XO Thames"/>
      <w:b/>
      <w:sz w:val="32"/>
    </w:rPr>
  </w:style>
  <w:style w:type="character" w:styleId="char13">
    <w:name w:val="Hyperlink"/>
    <w:basedOn w:val="char0"/>
    <w:rPr>
      <w:color w:val="0563c1"/>
      <w:u w:color="auto" w:val="single"/>
    </w:rPr>
  </w:style>
  <w:style w:type="character" w:styleId="char14" w:customStyle="1">
    <w:name w:val="Footnote"/>
    <w:basedOnNormal/>
    <w:rPr>
      <w:rFonts w:ascii="Times New Roman" w:hAnsi="Times New Roman"/>
      <w:sz w:val="20"/>
    </w:rPr>
  </w:style>
  <w:style w:type="character" w:styleId="char15" w:customStyle="1">
    <w:name w:val="Оглавление 1"/>
    <w:rPr>
      <w:rFonts w:ascii="XO Thames" w:hAnsi="XO Thames"/>
      <w:b/>
      <w:sz w:val="28"/>
    </w:rPr>
  </w:style>
  <w:style w:type="character" w:styleId="char16" w:customStyle="1">
    <w:name w:val="Header and Footer"/>
    <w:rPr>
      <w:rFonts w:ascii="XO Thames" w:hAnsi="XO Thames"/>
      <w:sz w:val="20"/>
    </w:rPr>
  </w:style>
  <w:style w:type="character" w:styleId="char17" w:customStyle="1">
    <w:name w:val="Оглавление 9"/>
    <w:rPr>
      <w:rFonts w:ascii="XO Thames" w:hAnsi="XO Thames"/>
      <w:sz w:val="28"/>
    </w:rPr>
  </w:style>
  <w:style w:type="character" w:styleId="char18" w:customStyle="1">
    <w:name w:val="Unresolved Mention"/>
    <w:basedOn w:val="char0"/>
    <w:rPr>
      <w:color w:val="605e5c"/>
      <w:shd w:val="clear" w:fill="e1dfdd"/>
    </w:rPr>
  </w:style>
  <w:style w:type="character" w:styleId="char19" w:customStyle="1">
    <w:name w:val="Оглавление 8"/>
    <w:rPr>
      <w:rFonts w:ascii="XO Thames" w:hAnsi="XO Thames"/>
      <w:sz w:val="28"/>
    </w:rPr>
  </w:style>
  <w:style w:type="character" w:styleId="char20" w:customStyle="1">
    <w:name w:val="Текст выноски"/>
    <w:basedOnNormal/>
    <w:rPr>
      <w:rFonts w:ascii="Segoe UI" w:hAnsi="Segoe UI"/>
      <w:sz w:val="18"/>
    </w:rPr>
  </w:style>
  <w:style w:type="character" w:styleId="char21" w:customStyle="1">
    <w:name w:val="Оглавление 5"/>
    <w:rPr>
      <w:rFonts w:ascii="XO Thames" w:hAnsi="XO Thames"/>
      <w:sz w:val="28"/>
    </w:rPr>
  </w:style>
  <w:style w:type="character" w:styleId="char22" w:customStyle="1">
    <w:name w:val="Подзаголовок"/>
    <w:rPr>
      <w:rFonts w:ascii="XO Thames" w:hAnsi="XO Thames"/>
      <w:i/>
      <w:sz w:val="24"/>
    </w:rPr>
  </w:style>
  <w:style w:type="character" w:styleId="char23" w:customStyle="1">
    <w:name w:val="Название"/>
    <w:rPr>
      <w:rFonts w:ascii="XO Thames" w:hAnsi="XO Thames"/>
      <w:b/>
      <w:caps/>
      <w:sz w:val="40"/>
    </w:rPr>
  </w:style>
  <w:style w:type="character" w:styleId="char24" w:customStyle="1">
    <w:name w:val="Заголовок 4"/>
    <w:rPr>
      <w:rFonts w:ascii="XO Thames" w:hAnsi="XO Thames"/>
      <w:b/>
      <w:sz w:val="24"/>
    </w:rPr>
  </w:style>
  <w:style w:type="character" w:styleId="char25" w:customStyle="1">
    <w:name w:val="Заголовок 2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4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5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6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  <w:lang w:val="ru-ru" w:eastAsia="zh-cn" w:bidi="ar-sa"/>
    </w:rPr>
  </w:style>
  <w:style w:type="paragraph" w:styleId="para7">
    <w:name w:val="No Spacing"/>
    <w:qFormat/>
    <w:rPr>
      <w:rFonts w:ascii="Calibri" w:hAnsi="Calibri"/>
      <w:color w:val="000000"/>
      <w:sz w:val="22"/>
      <w:lang w:val="ru-ru" w:eastAsia="zh-cn" w:bidi="ar-sa"/>
    </w:rPr>
  </w:style>
  <w:style w:type="paragraph" w:styleId="para8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9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  <w:lang w:val="ru-ru" w:eastAsia="zh-cn" w:bidi="ar-sa"/>
    </w:rPr>
  </w:style>
  <w:style w:type="paragraph" w:styleId="para10" w:customStyle="1">
    <w:name w:val="Default"/>
    <w:qFormat/>
    <w:rPr>
      <w:rFonts w:ascii="Times New Roman" w:hAnsi="Times New Roman"/>
      <w:color w:val="000000"/>
      <w:sz w:val="24"/>
      <w:lang w:val="ru-ru" w:eastAsia="zh-cn" w:bidi="ar-sa"/>
    </w:rPr>
  </w:style>
  <w:style w:type="paragraph" w:styleId="para11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  <w:lang w:val="ru-ru" w:eastAsia="zh-cn" w:bidi="ar-sa"/>
    </w:rPr>
  </w:style>
  <w:style w:type="paragraph" w:styleId="para12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  <w:lang w:val="ru-ru" w:eastAsia="zh-cn" w:bidi="ar-sa"/>
    </w:rPr>
  </w:style>
  <w:style w:type="paragraph" w:styleId="para13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zh-cn" w:bidi="ar-sa"/>
    </w:rPr>
  </w:style>
  <w:style w:type="paragraph" w:styleId="para14" w:customStyle="1">
    <w:name w:val="Гиперссылка"/>
    <w:qFormat/>
    <w:basedOn w:val="para11"/>
    <w:rPr>
      <w:color w:val="0563c1"/>
      <w:u w:color="auto" w:val="single"/>
    </w:rPr>
  </w:style>
  <w:style w:type="paragraph" w:styleId="para15" w:customStyle="1">
    <w:name w:val="Footnote"/>
    <w:qFormat/>
    <w:basedOn w:val="para0"/>
    <w:rPr>
      <w:rFonts w:ascii="Times New Roman" w:hAnsi="Times New Roman"/>
      <w:sz w:val="20"/>
    </w:rPr>
  </w:style>
  <w:style w:type="paragraph" w:styleId="para16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  <w:lang w:val="ru-ru" w:eastAsia="zh-cn" w:bidi="ar-sa"/>
    </w:rPr>
  </w:style>
  <w:style w:type="paragraph" w:styleId="para17" w:customStyle="1">
    <w:name w:val="Header and Footer"/>
    <w:qFormat/>
    <w:pPr>
      <w:spacing w:after="160"/>
      <w:jc w:val="both"/>
    </w:pPr>
    <w:rPr>
      <w:rFonts w:ascii="XO Thames" w:hAnsi="XO Thames"/>
      <w:color w:val="000000"/>
      <w:sz w:val="24"/>
      <w:lang w:val="ru-ru" w:eastAsia="zh-cn" w:bidi="ar-sa"/>
    </w:rPr>
  </w:style>
  <w:style w:type="paragraph" w:styleId="para18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19" w:customStyle="1">
    <w:name w:val="Unresolved Mention"/>
    <w:qFormat/>
    <w:basedOn w:val="para11"/>
    <w:rPr>
      <w:color w:val="605e5c"/>
      <w:shd w:val="clear" w:fill="e1dfdd"/>
    </w:rPr>
  </w:style>
  <w:style w:type="paragraph" w:styleId="para20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1">
    <w:name w:val="Balloon Text"/>
    <w:qFormat/>
    <w:basedOn w:val="para0"/>
    <w:rPr>
      <w:rFonts w:ascii="Segoe UI" w:hAnsi="Segoe UI"/>
      <w:sz w:val="18"/>
    </w:rPr>
  </w:style>
  <w:style w:type="paragraph" w:styleId="para22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  <w:lang w:val="ru-ru" w:eastAsia="zh-cn" w:bidi="ar-sa"/>
    </w:rPr>
  </w:style>
  <w:style w:type="paragraph" w:styleId="para23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  <w:lang w:val="ru-ru" w:eastAsia="zh-cn" w:bidi="ar-sa"/>
    </w:rPr>
  </w:style>
  <w:style w:type="paragraph" w:styleId="para24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  <w:lang w:val="ru-ru" w:eastAsia="zh-cn" w:bidi="ar-sa"/>
    </w:rPr>
  </w:style>
  <w:style w:type="paragraph" w:styleId="para25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  <w:lang w:val="ru-ru" w:eastAsia="zh-cn" w:bidi="ar-sa"/>
    </w:rPr>
  </w:style>
  <w:style w:type="paragraph" w:styleId="para26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  <w:lang w:val="ru-ru" w:eastAsia="zh-cn" w:bidi="ar-sa"/>
    </w:rPr>
  </w:style>
  <w:style w:type="character" w:styleId="char0" w:default="1">
    <w:name w:val="Default Paragraph Font"/>
  </w:style>
  <w:style w:type="character" w:styleId="char1" w:customStyle="1">
    <w:name w:val="Оглавление 2"/>
    <w:rPr>
      <w:rFonts w:ascii="XO Thames" w:hAnsi="XO Thames"/>
      <w:sz w:val="28"/>
    </w:rPr>
  </w:style>
  <w:style w:type="character" w:styleId="char2" w:customStyle="1">
    <w:name w:val="Абзац списка"/>
    <w:basedOnNormal/>
  </w:style>
  <w:style w:type="character" w:styleId="char3" w:customStyle="1">
    <w:name w:val="Оглавление 4"/>
    <w:rPr>
      <w:rFonts w:ascii="XO Thames" w:hAnsi="XO Thames"/>
      <w:sz w:val="28"/>
    </w:rPr>
  </w:style>
  <w:style w:type="character" w:styleId="char4" w:customStyle="1">
    <w:name w:val="Оглавление 6"/>
    <w:rPr>
      <w:rFonts w:ascii="XO Thames" w:hAnsi="XO Thames"/>
      <w:sz w:val="28"/>
    </w:rPr>
  </w:style>
  <w:style w:type="character" w:styleId="char5" w:customStyle="1">
    <w:name w:val="Оглавление 7"/>
    <w:rPr>
      <w:rFonts w:ascii="XO Thames" w:hAnsi="XO Thames"/>
      <w:sz w:val="28"/>
    </w:rPr>
  </w:style>
  <w:style w:type="character" w:styleId="char6" w:customStyle="1">
    <w:name w:val="Заголовок 3"/>
    <w:rPr>
      <w:rFonts w:ascii="XO Thames" w:hAnsi="XO Thames"/>
      <w:b/>
      <w:sz w:val="26"/>
    </w:rPr>
  </w:style>
  <w:style w:type="character" w:styleId="char7" w:customStyle="1">
    <w:name w:val="Без интервала"/>
  </w:style>
  <w:style w:type="character" w:styleId="char8" w:customStyle="1">
    <w:name w:val="Оглавление 3"/>
    <w:rPr>
      <w:rFonts w:ascii="XO Thames" w:hAnsi="XO Thames"/>
      <w:sz w:val="28"/>
    </w:rPr>
  </w:style>
  <w:style w:type="character" w:styleId="char9">
    <w:name w:val="Footnote Reference"/>
    <w:rPr>
      <w:vertAlign w:val="superscript"/>
    </w:rPr>
  </w:style>
  <w:style w:type="character" w:styleId="char10" w:customStyle="1">
    <w:name w:val="Default"/>
    <w:rPr>
      <w:rFonts w:ascii="Times New Roman" w:hAnsi="Times New Roman"/>
      <w:color w:val="000000"/>
      <w:sz w:val="24"/>
    </w:rPr>
  </w:style>
  <w:style w:type="character" w:styleId="char11" w:customStyle="1">
    <w:name w:val="Заголовок 5"/>
    <w:rPr>
      <w:rFonts w:ascii="XO Thames" w:hAnsi="XO Thames"/>
      <w:b/>
      <w:sz w:val="22"/>
    </w:rPr>
  </w:style>
  <w:style w:type="character" w:styleId="char12" w:customStyle="1">
    <w:name w:val="Заголовок 1"/>
    <w:rPr>
      <w:rFonts w:ascii="XO Thames" w:hAnsi="XO Thames"/>
      <w:b/>
      <w:sz w:val="32"/>
    </w:rPr>
  </w:style>
  <w:style w:type="character" w:styleId="char13">
    <w:name w:val="Hyperlink"/>
    <w:basedOn w:val="char0"/>
    <w:rPr>
      <w:color w:val="0563c1"/>
      <w:u w:color="auto" w:val="single"/>
    </w:rPr>
  </w:style>
  <w:style w:type="character" w:styleId="char14" w:customStyle="1">
    <w:name w:val="Footnote"/>
    <w:basedOnNormal/>
    <w:rPr>
      <w:rFonts w:ascii="Times New Roman" w:hAnsi="Times New Roman"/>
      <w:sz w:val="20"/>
    </w:rPr>
  </w:style>
  <w:style w:type="character" w:styleId="char15" w:customStyle="1">
    <w:name w:val="Оглавление 1"/>
    <w:rPr>
      <w:rFonts w:ascii="XO Thames" w:hAnsi="XO Thames"/>
      <w:b/>
      <w:sz w:val="28"/>
    </w:rPr>
  </w:style>
  <w:style w:type="character" w:styleId="char16" w:customStyle="1">
    <w:name w:val="Header and Footer"/>
    <w:rPr>
      <w:rFonts w:ascii="XO Thames" w:hAnsi="XO Thames"/>
      <w:sz w:val="20"/>
    </w:rPr>
  </w:style>
  <w:style w:type="character" w:styleId="char17" w:customStyle="1">
    <w:name w:val="Оглавление 9"/>
    <w:rPr>
      <w:rFonts w:ascii="XO Thames" w:hAnsi="XO Thames"/>
      <w:sz w:val="28"/>
    </w:rPr>
  </w:style>
  <w:style w:type="character" w:styleId="char18" w:customStyle="1">
    <w:name w:val="Unresolved Mention"/>
    <w:basedOn w:val="char0"/>
    <w:rPr>
      <w:color w:val="605e5c"/>
      <w:shd w:val="clear" w:fill="e1dfdd"/>
    </w:rPr>
  </w:style>
  <w:style w:type="character" w:styleId="char19" w:customStyle="1">
    <w:name w:val="Оглавление 8"/>
    <w:rPr>
      <w:rFonts w:ascii="XO Thames" w:hAnsi="XO Thames"/>
      <w:sz w:val="28"/>
    </w:rPr>
  </w:style>
  <w:style w:type="character" w:styleId="char20" w:customStyle="1">
    <w:name w:val="Текст выноски"/>
    <w:basedOnNormal/>
    <w:rPr>
      <w:rFonts w:ascii="Segoe UI" w:hAnsi="Segoe UI"/>
      <w:sz w:val="18"/>
    </w:rPr>
  </w:style>
  <w:style w:type="character" w:styleId="char21" w:customStyle="1">
    <w:name w:val="Оглавление 5"/>
    <w:rPr>
      <w:rFonts w:ascii="XO Thames" w:hAnsi="XO Thames"/>
      <w:sz w:val="28"/>
    </w:rPr>
  </w:style>
  <w:style w:type="character" w:styleId="char22" w:customStyle="1">
    <w:name w:val="Подзаголовок"/>
    <w:rPr>
      <w:rFonts w:ascii="XO Thames" w:hAnsi="XO Thames"/>
      <w:i/>
      <w:sz w:val="24"/>
    </w:rPr>
  </w:style>
  <w:style w:type="character" w:styleId="char23" w:customStyle="1">
    <w:name w:val="Название"/>
    <w:rPr>
      <w:rFonts w:ascii="XO Thames" w:hAnsi="XO Thames"/>
      <w:b/>
      <w:caps/>
      <w:sz w:val="40"/>
    </w:rPr>
  </w:style>
  <w:style w:type="character" w:styleId="char24" w:customStyle="1">
    <w:name w:val="Заголовок 4"/>
    <w:rPr>
      <w:rFonts w:ascii="XO Thames" w:hAnsi="XO Thames"/>
      <w:b/>
      <w:sz w:val="24"/>
    </w:rPr>
  </w:style>
  <w:style w:type="character" w:styleId="char25" w:customStyle="1">
    <w:name w:val="Заголовок 2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footnotes" Target="footnotes.xml"/><Relationship Id="rId8" Type="http://schemas.openxmlformats.org/officeDocument/2006/relationships/hyperlink" Target="mailto:upp@anzhero.ru&quot;" TargetMode="External"/><Relationship Id="rId9" Type="http://schemas.openxmlformats.org/officeDocument/2006/relationships/hyperlink" Target="mailto:promotdel@anzhero.ru&quot;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Basic Roman"/>
        <a:cs typeface="Basic Roman"/>
      </a:majorFont>
      <a:minorFont>
        <a:latin typeface="Arial"/>
        <a:ea typeface="Basic Roman"/>
        <a:cs typeface="Basic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2025-10-14T09:06:49Z</dcterms:created>
  <dcterms:modified xsi:type="dcterms:W3CDTF">2026-03-17T09:32:02Z</dcterms:modified>
</cp:coreProperties>
</file>